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4C" w:rsidRPr="0058594C" w:rsidRDefault="0058594C" w:rsidP="005859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859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Réfraction oculaire et vision binoculaire</w:t>
      </w:r>
      <w:r w:rsidRPr="005859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br/>
        <w:t>Coll. Profession santé</w:t>
      </w:r>
    </w:p>
    <w:p w:rsidR="0058594C" w:rsidRPr="0058594C" w:rsidRDefault="0058594C" w:rsidP="005859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8594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Auteur : ALLARY Jean-Charles</w:t>
      </w:r>
    </w:p>
    <w:p w:rsidR="0058594C" w:rsidRDefault="0058594C" w:rsidP="0058594C">
      <w:pPr>
        <w:pStyle w:val="NormalWeb"/>
        <w:spacing w:before="0" w:beforeAutospacing="0"/>
      </w:pPr>
    </w:p>
    <w:p w:rsidR="0058594C" w:rsidRDefault="0058594C" w:rsidP="0058594C">
      <w:pPr>
        <w:pStyle w:val="NormalWeb"/>
        <w:spacing w:before="0" w:beforeAutospacing="0"/>
      </w:pPr>
      <w:bookmarkStart w:id="0" w:name="_GoBack"/>
      <w:bookmarkEnd w:id="0"/>
    </w:p>
    <w:p w:rsidR="0058594C" w:rsidRDefault="0058594C" w:rsidP="0058594C">
      <w:pPr>
        <w:pStyle w:val="NormalWeb"/>
        <w:spacing w:before="0" w:beforeAutospacing="0"/>
      </w:pPr>
      <w:r>
        <w:t xml:space="preserve">Avant-propos </w:t>
      </w:r>
    </w:p>
    <w:p w:rsidR="0058594C" w:rsidRDefault="0058594C" w:rsidP="0058594C">
      <w:pPr>
        <w:pStyle w:val="NormalWeb"/>
        <w:spacing w:before="0" w:beforeAutospacing="0"/>
      </w:pPr>
      <w:r>
        <w:t xml:space="preserve">Remerciements </w:t>
      </w:r>
    </w:p>
    <w:p w:rsidR="0058594C" w:rsidRDefault="0058594C" w:rsidP="0058594C">
      <w:pPr>
        <w:pStyle w:val="NormalWeb"/>
        <w:spacing w:before="0" w:beforeAutospacing="0"/>
      </w:pPr>
      <w:r>
        <w:t xml:space="preserve">Abréviations utilisées dans le texte et symboles </w:t>
      </w:r>
    </w:p>
    <w:p w:rsidR="0058594C" w:rsidRDefault="0058594C" w:rsidP="0058594C">
      <w:pPr>
        <w:pStyle w:val="NormalWeb"/>
        <w:spacing w:before="0" w:beforeAutospacing="0"/>
      </w:pPr>
      <w:r>
        <w:rPr>
          <w:b/>
          <w:bCs/>
        </w:rPr>
        <w:t>Partie 1 - Notions de base</w:t>
      </w:r>
      <w:r>
        <w:t xml:space="preserve">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1. Anomalies de réfraction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2. Bases sensorimotrices de la vision binoculaire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3. Acuité visuelle </w:t>
      </w:r>
    </w:p>
    <w:p w:rsidR="0058594C" w:rsidRDefault="0058594C" w:rsidP="0058594C">
      <w:pPr>
        <w:pStyle w:val="NormalWeb"/>
        <w:spacing w:before="0" w:beforeAutospacing="0"/>
      </w:pPr>
      <w:r>
        <w:rPr>
          <w:b/>
          <w:bCs/>
        </w:rPr>
        <w:t>Partie 2 - Examen de la vision</w:t>
      </w:r>
      <w:r>
        <w:t xml:space="preserve">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4. Généralités sur l’examen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5. Histoire de cas et symptômes (anamnèse)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6. Examen préliminaire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7. Vision des couleurs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8. Champs visuels par confrontation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9. Pupilles et réflexes pupillaires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10. Réfraction objective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11. Réfraction subjective au loin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12. Examen de la vision de près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13. Examen de la vision binoculaire </w:t>
      </w:r>
    </w:p>
    <w:p w:rsidR="0058594C" w:rsidRDefault="0058594C" w:rsidP="0058594C">
      <w:pPr>
        <w:pStyle w:val="NormalWeb"/>
        <w:spacing w:before="0" w:beforeAutospacing="0"/>
      </w:pPr>
      <w:r>
        <w:rPr>
          <w:b/>
          <w:bCs/>
        </w:rPr>
        <w:t>Partie 3 - Prise en charge des anomalies de la vision</w:t>
      </w:r>
      <w:r>
        <w:t xml:space="preserve"> </w:t>
      </w:r>
    </w:p>
    <w:p w:rsidR="0058594C" w:rsidRDefault="0058594C" w:rsidP="0058594C">
      <w:pPr>
        <w:pStyle w:val="NormalWeb"/>
        <w:spacing w:before="0" w:beforeAutospacing="0"/>
      </w:pPr>
      <w:r>
        <w:lastRenderedPageBreak/>
        <w:t xml:space="preserve">Chapitre 14. Analyse et décisions cliniques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15. Prise en charge des troubles de vergence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16. Anomalies de l’accommodation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17. La myopie – étiologie, compensation et contrôle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18. Hyperopie et astigmatisme </w:t>
      </w:r>
    </w:p>
    <w:p w:rsidR="0058594C" w:rsidRDefault="0058594C" w:rsidP="0058594C">
      <w:pPr>
        <w:pStyle w:val="NormalWeb"/>
        <w:spacing w:before="0" w:beforeAutospacing="0"/>
      </w:pPr>
      <w:r>
        <w:t xml:space="preserve">Chapitre 19. </w:t>
      </w:r>
      <w:proofErr w:type="spellStart"/>
      <w:r>
        <w:t>Anisométropie</w:t>
      </w:r>
      <w:proofErr w:type="spellEnd"/>
      <w:r>
        <w:t xml:space="preserve"> et </w:t>
      </w:r>
      <w:proofErr w:type="spellStart"/>
      <w:r>
        <w:t>aniséiconie</w:t>
      </w:r>
      <w:proofErr w:type="spellEnd"/>
      <w:r>
        <w:t xml:space="preserve"> </w:t>
      </w:r>
    </w:p>
    <w:p w:rsidR="0058594C" w:rsidRDefault="0058594C" w:rsidP="0058594C">
      <w:pPr>
        <w:pStyle w:val="NormalWeb"/>
        <w:spacing w:before="0" w:beforeAutospacing="0"/>
      </w:pPr>
      <w:r>
        <w:t xml:space="preserve">Annexe </w:t>
      </w:r>
    </w:p>
    <w:p w:rsidR="0058594C" w:rsidRDefault="0058594C" w:rsidP="0058594C">
      <w:pPr>
        <w:pStyle w:val="NormalWeb"/>
        <w:spacing w:before="0" w:beforeAutospacing="0"/>
      </w:pPr>
      <w:r>
        <w:t xml:space="preserve">Abréviations ophtalmiques </w:t>
      </w:r>
    </w:p>
    <w:p w:rsidR="009579A3" w:rsidRPr="0058594C" w:rsidRDefault="0058594C" w:rsidP="0058594C">
      <w:pPr>
        <w:pStyle w:val="NormalWeb"/>
        <w:spacing w:before="0" w:beforeAutospacing="0"/>
      </w:pPr>
      <w:r>
        <w:t xml:space="preserve">Index </w:t>
      </w:r>
    </w:p>
    <w:sectPr w:rsidR="009579A3" w:rsidRPr="0058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4C"/>
    <w:rsid w:val="0058594C"/>
    <w:rsid w:val="009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3A87"/>
  <w15:chartTrackingRefBased/>
  <w15:docId w15:val="{34C368C0-CA84-4559-9EDF-B6FF5025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85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8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859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859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ollection">
    <w:name w:val="collection"/>
    <w:basedOn w:val="Policepardfaut"/>
    <w:rsid w:val="0058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Exatypo</dc:creator>
  <cp:keywords/>
  <dc:description/>
  <cp:lastModifiedBy>Exatypo</cp:lastModifiedBy>
  <cp:revision>1</cp:revision>
  <dcterms:created xsi:type="dcterms:W3CDTF">2018-01-16T15:12:00Z</dcterms:created>
  <dcterms:modified xsi:type="dcterms:W3CDTF">2018-01-16T15:21:00Z</dcterms:modified>
</cp:coreProperties>
</file>